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95B" w:rsidRPr="00434FDD" w:rsidRDefault="004B495B" w:rsidP="00434FDD">
      <w:pPr>
        <w:autoSpaceDE w:val="0"/>
        <w:autoSpaceDN w:val="0"/>
        <w:adjustRightInd w:val="0"/>
        <w:jc w:val="both"/>
        <w:rPr>
          <w:rFonts w:ascii="Arial" w:eastAsia="MS Mincho" w:hAnsi="Arial" w:cs="Arial"/>
          <w:color w:val="000000"/>
          <w:lang w:val="en-GB"/>
        </w:rPr>
      </w:pPr>
    </w:p>
    <w:p w:rsidR="00434FDD" w:rsidRPr="00434FDD" w:rsidRDefault="00434FDD" w:rsidP="00434FDD">
      <w:pPr>
        <w:autoSpaceDE w:val="0"/>
        <w:autoSpaceDN w:val="0"/>
        <w:adjustRightInd w:val="0"/>
        <w:jc w:val="both"/>
        <w:rPr>
          <w:rFonts w:ascii="Arial" w:eastAsia="MS Mincho" w:hAnsi="Arial" w:cs="Arial"/>
          <w:color w:val="000000"/>
          <w:lang w:val="en-GB"/>
        </w:rPr>
      </w:pPr>
      <w:r w:rsidRPr="00434FDD">
        <w:rPr>
          <w:rFonts w:ascii="Arial" w:eastAsia="MS Mincho" w:hAnsi="Arial" w:cs="Arial"/>
          <w:color w:val="000000"/>
          <w:lang w:val="en-GB"/>
        </w:rPr>
        <w:t>7th February 2014</w:t>
      </w:r>
    </w:p>
    <w:p w:rsidR="00434FDD" w:rsidRPr="00434FDD" w:rsidRDefault="00434FDD" w:rsidP="00434FDD">
      <w:pPr>
        <w:autoSpaceDE w:val="0"/>
        <w:autoSpaceDN w:val="0"/>
        <w:adjustRightInd w:val="0"/>
        <w:jc w:val="both"/>
        <w:rPr>
          <w:rFonts w:ascii="Arial" w:eastAsia="MidashiMinPro-MA31-Identity-H" w:hAnsi="Arial" w:cs="Arial"/>
          <w:color w:val="000000"/>
          <w:lang w:val="en-GB"/>
        </w:rPr>
      </w:pPr>
    </w:p>
    <w:p w:rsidR="004B495B" w:rsidRPr="00434FDD" w:rsidRDefault="00D27BAA" w:rsidP="00434FDD">
      <w:pPr>
        <w:autoSpaceDE w:val="0"/>
        <w:autoSpaceDN w:val="0"/>
        <w:adjustRightInd w:val="0"/>
        <w:jc w:val="both"/>
        <w:rPr>
          <w:rFonts w:ascii="Arial" w:eastAsia="MidashiMinPro-MA31-Identity-H" w:hAnsi="Arial" w:cs="Arial"/>
          <w:b/>
          <w:bCs/>
          <w:color w:val="000000"/>
          <w:lang w:val="en-GB"/>
        </w:rPr>
      </w:pPr>
      <w:r>
        <w:rPr>
          <w:rFonts w:ascii="Arial" w:eastAsia="MidashiMinPro-MA31-Identity-H" w:hAnsi="Arial" w:cs="Arial"/>
          <w:b/>
          <w:bCs/>
          <w:color w:val="000000"/>
          <w:lang w:val="en-GB"/>
        </w:rPr>
        <w:t>YOKOHAMA</w:t>
      </w:r>
      <w:r w:rsidR="004B495B" w:rsidRPr="00434FDD">
        <w:rPr>
          <w:rFonts w:ascii="Arial" w:eastAsia="MidashiMinPro-MA31-Identity-H" w:hAnsi="Arial" w:cs="Arial"/>
          <w:b/>
          <w:bCs/>
          <w:color w:val="000000"/>
          <w:lang w:val="en-GB"/>
        </w:rPr>
        <w:t xml:space="preserve"> to Release CIK–FIA Homologated Racing Kart T</w:t>
      </w:r>
      <w:r w:rsidR="00434FDD" w:rsidRPr="00434FDD">
        <w:rPr>
          <w:rFonts w:ascii="Arial" w:eastAsia="MidashiMinPro-MA31-Identity-H" w:hAnsi="Arial" w:cs="Arial"/>
          <w:b/>
          <w:bCs/>
          <w:color w:val="000000"/>
          <w:lang w:val="en-GB"/>
        </w:rPr>
        <w:t>y</w:t>
      </w:r>
      <w:r w:rsidR="004B495B" w:rsidRPr="00434FDD">
        <w:rPr>
          <w:rFonts w:ascii="Arial" w:eastAsia="MidashiMinPro-MA31-Identity-H" w:hAnsi="Arial" w:cs="Arial"/>
          <w:b/>
          <w:bCs/>
          <w:color w:val="000000"/>
          <w:lang w:val="en-GB"/>
        </w:rPr>
        <w:t>res</w:t>
      </w:r>
    </w:p>
    <w:p w:rsidR="00434FDD" w:rsidRPr="00434FDD" w:rsidRDefault="00434FDD" w:rsidP="00434FDD">
      <w:pPr>
        <w:autoSpaceDE w:val="0"/>
        <w:autoSpaceDN w:val="0"/>
        <w:adjustRightInd w:val="0"/>
        <w:jc w:val="both"/>
        <w:rPr>
          <w:rFonts w:ascii="Arial" w:eastAsia="MidashiMinPro-MA31-Identity-H" w:hAnsi="Arial" w:cs="Arial"/>
          <w:color w:val="000000"/>
          <w:lang w:val="en-GB"/>
        </w:rPr>
      </w:pPr>
    </w:p>
    <w:p w:rsidR="004B495B" w:rsidRDefault="004B495B" w:rsidP="00434FDD">
      <w:pPr>
        <w:autoSpaceDE w:val="0"/>
        <w:autoSpaceDN w:val="0"/>
        <w:adjustRightInd w:val="0"/>
        <w:jc w:val="both"/>
        <w:rPr>
          <w:rFonts w:ascii="Arial" w:eastAsia="MidashiMinPro-MA31-Identity-H" w:hAnsi="Arial" w:cs="Arial"/>
          <w:color w:val="000000"/>
          <w:lang w:val="en-GB"/>
        </w:rPr>
      </w:pPr>
      <w:r w:rsidRPr="00434FDD">
        <w:rPr>
          <w:rFonts w:ascii="Arial" w:eastAsia="MidashiMinPro-MA31-Identity-H" w:hAnsi="Arial" w:cs="Arial"/>
          <w:color w:val="000000"/>
          <w:lang w:val="en-GB"/>
        </w:rPr>
        <w:t>Tokyo – The Yokohama Rubber Co., Ltd., announced today that on February it will release racing kart</w:t>
      </w:r>
      <w:r w:rsidR="00434FDD" w:rsidRPr="00434FDD">
        <w:rPr>
          <w:rFonts w:ascii="Arial" w:eastAsia="MidashiMinPro-MA31-Identity-H" w:hAnsi="Arial" w:cs="Arial"/>
          <w:color w:val="000000"/>
          <w:lang w:val="en-GB"/>
        </w:rPr>
        <w:t xml:space="preserve"> </w:t>
      </w:r>
      <w:r w:rsidRPr="00434FDD">
        <w:rPr>
          <w:rFonts w:ascii="Arial" w:eastAsia="MidashiMinPro-MA31-Identity-H" w:hAnsi="Arial" w:cs="Arial"/>
          <w:color w:val="000000"/>
          <w:lang w:val="en-GB"/>
        </w:rPr>
        <w:t>t</w:t>
      </w:r>
      <w:r w:rsidR="00434FDD">
        <w:rPr>
          <w:rFonts w:ascii="Arial" w:eastAsia="MidashiMinPro-MA31-Identity-H" w:hAnsi="Arial" w:cs="Arial"/>
          <w:color w:val="000000"/>
          <w:lang w:val="en-GB"/>
        </w:rPr>
        <w:t>y</w:t>
      </w:r>
      <w:r w:rsidRPr="00434FDD">
        <w:rPr>
          <w:rFonts w:ascii="Arial" w:eastAsia="MidashiMinPro-MA31-Identity-H" w:hAnsi="Arial" w:cs="Arial"/>
          <w:color w:val="000000"/>
          <w:lang w:val="en-GB"/>
        </w:rPr>
        <w:t>res officially certified by the Commission International de Karting–FIA (CIK–FIA). YOKOHAMA</w:t>
      </w:r>
      <w:r w:rsidR="00434FDD" w:rsidRPr="00434FDD">
        <w:rPr>
          <w:rFonts w:ascii="Arial" w:eastAsia="MidashiMinPro-MA31-Identity-H" w:hAnsi="Arial" w:cs="Arial"/>
          <w:color w:val="000000"/>
          <w:lang w:val="en-GB"/>
        </w:rPr>
        <w:t xml:space="preserve"> </w:t>
      </w:r>
      <w:r w:rsidR="00434FDD">
        <w:rPr>
          <w:rFonts w:ascii="Arial" w:eastAsia="MidashiMinPro-MA31-Identity-H" w:hAnsi="Arial" w:cs="Arial"/>
          <w:color w:val="000000"/>
          <w:lang w:val="en-GB"/>
        </w:rPr>
        <w:t>karting ty</w:t>
      </w:r>
      <w:r w:rsidRPr="00434FDD">
        <w:rPr>
          <w:rFonts w:ascii="Arial" w:eastAsia="MidashiMinPro-MA31-Identity-H" w:hAnsi="Arial" w:cs="Arial"/>
          <w:color w:val="000000"/>
          <w:lang w:val="en-GB"/>
        </w:rPr>
        <w:t>res have received CIK-FIA cer</w:t>
      </w:r>
      <w:r w:rsidR="00BB72B9">
        <w:rPr>
          <w:rFonts w:ascii="Arial" w:eastAsia="MidashiMinPro-MA31-Identity-H" w:hAnsi="Arial" w:cs="Arial"/>
          <w:color w:val="000000"/>
          <w:lang w:val="en-GB"/>
        </w:rPr>
        <w:t>tification for 2014–2016. The ty</w:t>
      </w:r>
      <w:r w:rsidRPr="00434FDD">
        <w:rPr>
          <w:rFonts w:ascii="Arial" w:eastAsia="MidashiMinPro-MA31-Identity-H" w:hAnsi="Arial" w:cs="Arial"/>
          <w:color w:val="000000"/>
          <w:lang w:val="en-GB"/>
        </w:rPr>
        <w:t>res will be available in 10 sizes</w:t>
      </w:r>
      <w:r w:rsidR="00434FDD">
        <w:rPr>
          <w:rFonts w:ascii="Arial" w:eastAsia="MidashiMinPro-MA31-Identity-H" w:hAnsi="Arial" w:cs="Arial"/>
          <w:color w:val="000000"/>
          <w:lang w:val="en-GB"/>
        </w:rPr>
        <w:t xml:space="preserve"> </w:t>
      </w:r>
      <w:r w:rsidRPr="00434FDD">
        <w:rPr>
          <w:rFonts w:ascii="Arial" w:eastAsia="MidashiMinPro-MA31-Identity-H" w:hAnsi="Arial" w:cs="Arial"/>
          <w:color w:val="000000"/>
          <w:lang w:val="en-GB"/>
        </w:rPr>
        <w:t>ranging from 4.5×10.0–5 to 7.1×11.0–5 and at open-market prices.</w:t>
      </w:r>
    </w:p>
    <w:p w:rsidR="00434FDD" w:rsidRPr="00434FDD" w:rsidRDefault="00434FDD" w:rsidP="00434FDD">
      <w:pPr>
        <w:autoSpaceDE w:val="0"/>
        <w:autoSpaceDN w:val="0"/>
        <w:adjustRightInd w:val="0"/>
        <w:jc w:val="both"/>
        <w:rPr>
          <w:rFonts w:ascii="Arial" w:eastAsia="MidashiMinPro-MA31-Identity-H" w:hAnsi="Arial" w:cs="Arial"/>
          <w:color w:val="000000"/>
          <w:lang w:val="en-GB"/>
        </w:rPr>
      </w:pPr>
    </w:p>
    <w:p w:rsidR="004B495B" w:rsidRDefault="004B495B" w:rsidP="00434FDD">
      <w:pPr>
        <w:autoSpaceDE w:val="0"/>
        <w:autoSpaceDN w:val="0"/>
        <w:adjustRightInd w:val="0"/>
        <w:jc w:val="both"/>
        <w:rPr>
          <w:rFonts w:ascii="Arial" w:eastAsia="MidashiMinPro-MA31-Identity-H" w:hAnsi="Arial" w:cs="Arial"/>
          <w:color w:val="000000"/>
          <w:lang w:val="en-GB"/>
        </w:rPr>
      </w:pPr>
      <w:r w:rsidRPr="00434FDD">
        <w:rPr>
          <w:rFonts w:ascii="Arial" w:eastAsia="MidashiMinPro-MA31-Identity-H" w:hAnsi="Arial" w:cs="Arial"/>
          <w:color w:val="000000"/>
          <w:lang w:val="en-GB"/>
        </w:rPr>
        <w:t>The line</w:t>
      </w:r>
      <w:r w:rsidR="00434FDD">
        <w:rPr>
          <w:rFonts w:ascii="Arial" w:eastAsia="MidashiMinPro-MA31-Identity-H" w:hAnsi="Arial" w:cs="Arial"/>
          <w:color w:val="000000"/>
          <w:lang w:val="en-GB"/>
        </w:rPr>
        <w:t>-</w:t>
      </w:r>
      <w:r w:rsidRPr="00434FDD">
        <w:rPr>
          <w:rFonts w:ascii="Arial" w:eastAsia="MidashiMinPro-MA31-Identity-H" w:hAnsi="Arial" w:cs="Arial"/>
          <w:color w:val="000000"/>
          <w:lang w:val="en-GB"/>
        </w:rPr>
        <w:t>up includes four dry-type t</w:t>
      </w:r>
      <w:r w:rsidR="00434FDD">
        <w:rPr>
          <w:rFonts w:ascii="Arial" w:eastAsia="MidashiMinPro-MA31-Identity-H" w:hAnsi="Arial" w:cs="Arial"/>
          <w:color w:val="000000"/>
          <w:lang w:val="en-GB"/>
        </w:rPr>
        <w:t>y</w:t>
      </w:r>
      <w:r w:rsidRPr="00434FDD">
        <w:rPr>
          <w:rFonts w:ascii="Arial" w:eastAsia="MidashiMinPro-MA31-Identity-H" w:hAnsi="Arial" w:cs="Arial"/>
          <w:color w:val="000000"/>
          <w:lang w:val="en-GB"/>
        </w:rPr>
        <w:t>res, including the ACM (CIK-FIA grade KF Prime; equivalent to the</w:t>
      </w:r>
      <w:r w:rsidR="00434FDD">
        <w:rPr>
          <w:rFonts w:ascii="Arial" w:eastAsia="MidashiMinPro-MA31-Identity-H" w:hAnsi="Arial" w:cs="Arial"/>
          <w:color w:val="000000"/>
          <w:lang w:val="en-GB"/>
        </w:rPr>
        <w:t xml:space="preserve"> </w:t>
      </w:r>
      <w:r w:rsidRPr="00434FDD">
        <w:rPr>
          <w:rFonts w:ascii="Arial" w:eastAsia="MidashiMinPro-MA31-Identity-H" w:hAnsi="Arial" w:cs="Arial"/>
          <w:color w:val="000000"/>
          <w:lang w:val="en-GB"/>
        </w:rPr>
        <w:t>former Medium grade for use with KF karts), the ACH (KF Option, equivalent to the former KF Hard), the</w:t>
      </w:r>
      <w:r w:rsidR="00434FDD">
        <w:rPr>
          <w:rFonts w:ascii="Arial" w:eastAsia="MidashiMinPro-MA31-Identity-H" w:hAnsi="Arial" w:cs="Arial"/>
          <w:color w:val="000000"/>
          <w:lang w:val="en-GB"/>
        </w:rPr>
        <w:t xml:space="preserve"> </w:t>
      </w:r>
      <w:r w:rsidRPr="00434FDD">
        <w:rPr>
          <w:rFonts w:ascii="Arial" w:eastAsia="MidashiMinPro-MA31-Identity-H" w:hAnsi="Arial" w:cs="Arial"/>
          <w:color w:val="000000"/>
          <w:lang w:val="en-GB"/>
        </w:rPr>
        <w:t>ACB (KZ Prime; equivalent to the former Medium grade for use with KZ karts) and the ACC (KZ Option,</w:t>
      </w:r>
      <w:r w:rsidR="00434FDD">
        <w:rPr>
          <w:rFonts w:ascii="Arial" w:eastAsia="MidashiMinPro-MA31-Identity-H" w:hAnsi="Arial" w:cs="Arial"/>
          <w:color w:val="000000"/>
          <w:lang w:val="en-GB"/>
        </w:rPr>
        <w:t xml:space="preserve"> </w:t>
      </w:r>
      <w:r w:rsidRPr="00434FDD">
        <w:rPr>
          <w:rFonts w:ascii="Arial" w:eastAsia="MidashiMinPro-MA31-Identity-H" w:hAnsi="Arial" w:cs="Arial"/>
          <w:color w:val="000000"/>
          <w:lang w:val="en-GB"/>
        </w:rPr>
        <w:t xml:space="preserve">equivalent to the </w:t>
      </w:r>
      <w:r w:rsidR="00BB72B9">
        <w:rPr>
          <w:rFonts w:ascii="Arial" w:eastAsia="MidashiMinPro-MA31-Identity-H" w:hAnsi="Arial" w:cs="Arial"/>
          <w:color w:val="000000"/>
          <w:lang w:val="en-GB"/>
        </w:rPr>
        <w:t>former KZ Hard). The new ty</w:t>
      </w:r>
      <w:r w:rsidRPr="00434FDD">
        <w:rPr>
          <w:rFonts w:ascii="Arial" w:eastAsia="MidashiMinPro-MA31-Identity-H" w:hAnsi="Arial" w:cs="Arial"/>
          <w:color w:val="000000"/>
          <w:lang w:val="en-GB"/>
        </w:rPr>
        <w:t>res are divided into two major categories, one designed for use</w:t>
      </w:r>
      <w:r w:rsidR="00434FDD">
        <w:rPr>
          <w:rFonts w:ascii="Arial" w:eastAsia="MidashiMinPro-MA31-Identity-H" w:hAnsi="Arial" w:cs="Arial"/>
          <w:color w:val="000000"/>
          <w:lang w:val="en-GB"/>
        </w:rPr>
        <w:t xml:space="preserve"> </w:t>
      </w:r>
      <w:r w:rsidRPr="00434FDD">
        <w:rPr>
          <w:rFonts w:ascii="Arial" w:eastAsia="MidashiMinPro-MA31-Identity-H" w:hAnsi="Arial" w:cs="Arial"/>
          <w:color w:val="000000"/>
          <w:lang w:val="en-GB"/>
        </w:rPr>
        <w:t>with the mainstream KF karts and the other with the recently p</w:t>
      </w:r>
      <w:r w:rsidR="00BB72B9">
        <w:rPr>
          <w:rFonts w:ascii="Arial" w:eastAsia="MidashiMinPro-MA31-Identity-H" w:hAnsi="Arial" w:cs="Arial"/>
          <w:color w:val="000000"/>
          <w:lang w:val="en-GB"/>
        </w:rPr>
        <w:t>opular KZ karts. As such, the ty</w:t>
      </w:r>
      <w:r w:rsidRPr="00434FDD">
        <w:rPr>
          <w:rFonts w:ascii="Arial" w:eastAsia="MidashiMinPro-MA31-Identity-H" w:hAnsi="Arial" w:cs="Arial"/>
          <w:color w:val="000000"/>
          <w:lang w:val="en-GB"/>
        </w:rPr>
        <w:t>res’ designs are</w:t>
      </w:r>
      <w:r w:rsidR="00434FDD">
        <w:rPr>
          <w:rFonts w:ascii="Arial" w:eastAsia="MidashiMinPro-MA31-Identity-H" w:hAnsi="Arial" w:cs="Arial"/>
          <w:color w:val="000000"/>
          <w:lang w:val="en-GB"/>
        </w:rPr>
        <w:t xml:space="preserve"> </w:t>
      </w:r>
      <w:r w:rsidRPr="00434FDD">
        <w:rPr>
          <w:rFonts w:ascii="Arial" w:eastAsia="MidashiMinPro-MA31-Identity-H" w:hAnsi="Arial" w:cs="Arial"/>
          <w:color w:val="000000"/>
          <w:lang w:val="en-GB"/>
        </w:rPr>
        <w:t>now more optimized for use with the two standards for racing karts. In addition, completely revised shapes</w:t>
      </w:r>
      <w:r w:rsidR="00434FDD">
        <w:rPr>
          <w:rFonts w:ascii="Arial" w:eastAsia="MidashiMinPro-MA31-Identity-H" w:hAnsi="Arial" w:cs="Arial"/>
          <w:color w:val="000000"/>
          <w:lang w:val="en-GB"/>
        </w:rPr>
        <w:t xml:space="preserve"> </w:t>
      </w:r>
      <w:r w:rsidR="00BB72B9">
        <w:rPr>
          <w:rFonts w:ascii="Arial" w:eastAsia="MidashiMinPro-MA31-Identity-H" w:hAnsi="Arial" w:cs="Arial"/>
          <w:color w:val="000000"/>
          <w:lang w:val="en-GB"/>
        </w:rPr>
        <w:t>and compounds enable the ty</w:t>
      </w:r>
      <w:r w:rsidRPr="00434FDD">
        <w:rPr>
          <w:rFonts w:ascii="Arial" w:eastAsia="MidashiMinPro-MA31-Identity-H" w:hAnsi="Arial" w:cs="Arial"/>
          <w:color w:val="000000"/>
          <w:lang w:val="en-GB"/>
        </w:rPr>
        <w:t>res to clear new standards for abrasion resistance and operate safely under high</w:t>
      </w:r>
      <w:r w:rsidR="00B71BFA">
        <w:rPr>
          <w:rFonts w:ascii="Arial" w:eastAsia="MidashiMinPro-MA31-Identity-H" w:hAnsi="Arial" w:cs="Arial"/>
          <w:color w:val="000000"/>
          <w:lang w:val="en-GB"/>
        </w:rPr>
        <w:t xml:space="preserve">- </w:t>
      </w:r>
      <w:r w:rsidRPr="00434FDD">
        <w:rPr>
          <w:rFonts w:ascii="Arial" w:eastAsia="MidashiMinPro-MA31-Identity-H" w:hAnsi="Arial" w:cs="Arial"/>
          <w:color w:val="000000"/>
          <w:lang w:val="en-GB"/>
        </w:rPr>
        <w:t>and</w:t>
      </w:r>
      <w:r w:rsidR="00434FDD">
        <w:rPr>
          <w:rFonts w:ascii="Arial" w:eastAsia="MidashiMinPro-MA31-Identity-H" w:hAnsi="Arial" w:cs="Arial"/>
          <w:color w:val="000000"/>
          <w:lang w:val="en-GB"/>
        </w:rPr>
        <w:t xml:space="preserve"> </w:t>
      </w:r>
      <w:r w:rsidRPr="00434FDD">
        <w:rPr>
          <w:rFonts w:ascii="Arial" w:eastAsia="MidashiMinPro-MA31-Identity-H" w:hAnsi="Arial" w:cs="Arial"/>
          <w:color w:val="000000"/>
          <w:lang w:val="en-GB"/>
        </w:rPr>
        <w:t>low-temperature conditions. The wet-type ACW employs a new pattern that raises its performance on wet</w:t>
      </w:r>
      <w:r w:rsidR="00B71BFA">
        <w:rPr>
          <w:rFonts w:ascii="Arial" w:eastAsia="MidashiMinPro-MA31-Identity-H" w:hAnsi="Arial" w:cs="Arial"/>
          <w:color w:val="000000"/>
          <w:lang w:val="en-GB"/>
        </w:rPr>
        <w:t xml:space="preserve"> </w:t>
      </w:r>
      <w:r w:rsidR="00BB72B9">
        <w:rPr>
          <w:rFonts w:ascii="Arial" w:eastAsia="MidashiMinPro-MA31-Identity-H" w:hAnsi="Arial" w:cs="Arial"/>
          <w:color w:val="000000"/>
          <w:lang w:val="en-GB"/>
        </w:rPr>
        <w:t>surfaces. The ty</w:t>
      </w:r>
      <w:r w:rsidRPr="00434FDD">
        <w:rPr>
          <w:rFonts w:ascii="Arial" w:eastAsia="MidashiMinPro-MA31-Identity-H" w:hAnsi="Arial" w:cs="Arial"/>
          <w:color w:val="000000"/>
          <w:lang w:val="en-GB"/>
        </w:rPr>
        <w:t>re also features a newly developed compound that provides superior grip performance from the</w:t>
      </w:r>
      <w:r w:rsidR="00B71BFA">
        <w:rPr>
          <w:rFonts w:ascii="Arial" w:eastAsia="MidashiMinPro-MA31-Identity-H" w:hAnsi="Arial" w:cs="Arial"/>
          <w:color w:val="000000"/>
          <w:lang w:val="en-GB"/>
        </w:rPr>
        <w:t xml:space="preserve"> </w:t>
      </w:r>
      <w:r w:rsidR="00BB72B9">
        <w:rPr>
          <w:rFonts w:ascii="Arial" w:eastAsia="MidashiMinPro-MA31-Identity-H" w:hAnsi="Arial" w:cs="Arial"/>
          <w:color w:val="000000"/>
          <w:lang w:val="en-GB"/>
        </w:rPr>
        <w:t>ty</w:t>
      </w:r>
      <w:r w:rsidRPr="00434FDD">
        <w:rPr>
          <w:rFonts w:ascii="Arial" w:eastAsia="MidashiMinPro-MA31-Identity-H" w:hAnsi="Arial" w:cs="Arial"/>
          <w:color w:val="000000"/>
          <w:lang w:val="en-GB"/>
        </w:rPr>
        <w:t>re’s first run and delivers high performance across the full range of wet racing conditions, from downpours</w:t>
      </w:r>
      <w:r w:rsidR="00B71BFA">
        <w:rPr>
          <w:rFonts w:ascii="Arial" w:eastAsia="MidashiMinPro-MA31-Identity-H" w:hAnsi="Arial" w:cs="Arial"/>
          <w:color w:val="000000"/>
          <w:lang w:val="en-GB"/>
        </w:rPr>
        <w:t xml:space="preserve"> </w:t>
      </w:r>
      <w:r w:rsidRPr="00434FDD">
        <w:rPr>
          <w:rFonts w:ascii="Arial" w:eastAsia="MidashiMinPro-MA31-Identity-H" w:hAnsi="Arial" w:cs="Arial"/>
          <w:color w:val="000000"/>
          <w:lang w:val="en-GB"/>
        </w:rPr>
        <w:t>to mildly damp conditions.</w:t>
      </w:r>
    </w:p>
    <w:p w:rsidR="00B71BFA" w:rsidRPr="00434FDD" w:rsidRDefault="00B71BFA" w:rsidP="00434FDD">
      <w:pPr>
        <w:autoSpaceDE w:val="0"/>
        <w:autoSpaceDN w:val="0"/>
        <w:adjustRightInd w:val="0"/>
        <w:jc w:val="both"/>
        <w:rPr>
          <w:rFonts w:ascii="Arial" w:eastAsia="MidashiMinPro-MA31-Identity-H" w:hAnsi="Arial" w:cs="Arial"/>
          <w:color w:val="000000"/>
          <w:lang w:val="en-GB"/>
        </w:rPr>
      </w:pPr>
    </w:p>
    <w:p w:rsidR="004B495B" w:rsidRDefault="00B71BFA" w:rsidP="00434FDD">
      <w:pPr>
        <w:autoSpaceDE w:val="0"/>
        <w:autoSpaceDN w:val="0"/>
        <w:adjustRightInd w:val="0"/>
        <w:jc w:val="both"/>
        <w:rPr>
          <w:rFonts w:ascii="Arial" w:eastAsia="MidashiMinPro-MA31-Identity-H" w:hAnsi="Arial" w:cs="Arial"/>
          <w:color w:val="000000"/>
          <w:lang w:val="en-GB"/>
        </w:rPr>
      </w:pPr>
      <w:r>
        <w:rPr>
          <w:rFonts w:ascii="Arial" w:eastAsia="MidashiMinPro-MA31-Identity-H" w:hAnsi="Arial" w:cs="Arial"/>
          <w:color w:val="000000"/>
          <w:lang w:val="en-GB"/>
        </w:rPr>
        <w:t>The new ty</w:t>
      </w:r>
      <w:r w:rsidR="004B495B" w:rsidRPr="00434FDD">
        <w:rPr>
          <w:rFonts w:ascii="Arial" w:eastAsia="MidashiMinPro-MA31-Identity-H" w:hAnsi="Arial" w:cs="Arial"/>
          <w:color w:val="000000"/>
          <w:lang w:val="en-GB"/>
        </w:rPr>
        <w:t xml:space="preserve">res complement </w:t>
      </w:r>
      <w:r>
        <w:rPr>
          <w:rFonts w:ascii="Arial" w:eastAsia="MidashiMinPro-MA31-Identity-H" w:hAnsi="Arial" w:cs="Arial"/>
          <w:color w:val="000000"/>
          <w:lang w:val="en-GB"/>
        </w:rPr>
        <w:t>YOKOHAMA</w:t>
      </w:r>
      <w:r w:rsidR="004B495B" w:rsidRPr="00434FDD">
        <w:rPr>
          <w:rFonts w:ascii="Arial" w:eastAsia="MidashiMinPro-MA31-Identity-H" w:hAnsi="Arial" w:cs="Arial"/>
          <w:color w:val="000000"/>
          <w:lang w:val="en-GB"/>
        </w:rPr>
        <w:t>’s line</w:t>
      </w:r>
      <w:r>
        <w:rPr>
          <w:rFonts w:ascii="Arial" w:eastAsia="MidashiMinPro-MA31-Identity-H" w:hAnsi="Arial" w:cs="Arial"/>
          <w:color w:val="000000"/>
          <w:lang w:val="en-GB"/>
        </w:rPr>
        <w:t>-</w:t>
      </w:r>
      <w:r w:rsidR="004B495B" w:rsidRPr="00434FDD">
        <w:rPr>
          <w:rFonts w:ascii="Arial" w:eastAsia="MidashiMinPro-MA31-Identity-H" w:hAnsi="Arial" w:cs="Arial"/>
          <w:color w:val="000000"/>
          <w:lang w:val="en-GB"/>
        </w:rPr>
        <w:t>up of JAF (Japan Automobile Federation) certified</w:t>
      </w:r>
      <w:r>
        <w:rPr>
          <w:rFonts w:ascii="Arial" w:eastAsia="MidashiMinPro-MA31-Identity-H" w:hAnsi="Arial" w:cs="Arial"/>
          <w:color w:val="000000"/>
          <w:lang w:val="en-GB"/>
        </w:rPr>
        <w:t xml:space="preserve"> </w:t>
      </w:r>
      <w:r w:rsidR="00BB72B9">
        <w:rPr>
          <w:rFonts w:ascii="Arial" w:eastAsia="MidashiMinPro-MA31-Identity-H" w:hAnsi="Arial" w:cs="Arial"/>
          <w:color w:val="000000"/>
          <w:lang w:val="en-GB"/>
        </w:rPr>
        <w:t>kart ty</w:t>
      </w:r>
      <w:r w:rsidR="004B495B" w:rsidRPr="00434FDD">
        <w:rPr>
          <w:rFonts w:ascii="Arial" w:eastAsia="MidashiMinPro-MA31-Identity-H" w:hAnsi="Arial" w:cs="Arial"/>
          <w:color w:val="000000"/>
          <w:lang w:val="en-GB"/>
        </w:rPr>
        <w:t>res, including the SL07, SL83, SLJ, and SL03, as well as the ED for rental karts and the</w:t>
      </w:r>
      <w:r>
        <w:rPr>
          <w:rFonts w:ascii="Arial" w:eastAsia="MidashiMinPro-MA31-Identity-H" w:hAnsi="Arial" w:cs="Arial"/>
          <w:color w:val="000000"/>
          <w:lang w:val="en-GB"/>
        </w:rPr>
        <w:t xml:space="preserve"> </w:t>
      </w:r>
      <w:r w:rsidR="004B495B" w:rsidRPr="00434FDD">
        <w:rPr>
          <w:rFonts w:ascii="Arial" w:eastAsia="MidashiMinPro-MA31-Identity-H" w:hAnsi="Arial" w:cs="Arial"/>
          <w:color w:val="000000"/>
          <w:lang w:val="en-GB"/>
        </w:rPr>
        <w:t xml:space="preserve">all-weather YRA2. </w:t>
      </w:r>
      <w:r w:rsidR="00696AE1">
        <w:rPr>
          <w:rFonts w:ascii="Arial" w:eastAsia="MidashiMinPro-MA31-Identity-H" w:hAnsi="Arial" w:cs="Arial"/>
          <w:color w:val="000000"/>
          <w:lang w:val="en-GB"/>
        </w:rPr>
        <w:t>YOKOHAMA</w:t>
      </w:r>
      <w:r w:rsidR="004B495B" w:rsidRPr="00434FDD">
        <w:rPr>
          <w:rFonts w:ascii="Arial" w:eastAsia="MidashiMinPro-MA31-Identity-H" w:hAnsi="Arial" w:cs="Arial"/>
          <w:color w:val="000000"/>
          <w:lang w:val="en-GB"/>
        </w:rPr>
        <w:t xml:space="preserve"> will continue to develop a full line</w:t>
      </w:r>
      <w:r>
        <w:rPr>
          <w:rFonts w:ascii="Arial" w:eastAsia="MidashiMinPro-MA31-Identity-H" w:hAnsi="Arial" w:cs="Arial"/>
          <w:color w:val="000000"/>
          <w:lang w:val="en-GB"/>
        </w:rPr>
        <w:t>-</w:t>
      </w:r>
      <w:r w:rsidR="00BB72B9">
        <w:rPr>
          <w:rFonts w:ascii="Arial" w:eastAsia="MidashiMinPro-MA31-Identity-H" w:hAnsi="Arial" w:cs="Arial"/>
          <w:color w:val="000000"/>
          <w:lang w:val="en-GB"/>
        </w:rPr>
        <w:t>up of kart ty</w:t>
      </w:r>
      <w:r w:rsidR="004B495B" w:rsidRPr="00434FDD">
        <w:rPr>
          <w:rFonts w:ascii="Arial" w:eastAsia="MidashiMinPro-MA31-Identity-H" w:hAnsi="Arial" w:cs="Arial"/>
          <w:color w:val="000000"/>
          <w:lang w:val="en-GB"/>
        </w:rPr>
        <w:t>res.</w:t>
      </w:r>
    </w:p>
    <w:p w:rsidR="00B71BFA" w:rsidRPr="00434FDD" w:rsidRDefault="00B71BFA" w:rsidP="00434FDD">
      <w:pPr>
        <w:autoSpaceDE w:val="0"/>
        <w:autoSpaceDN w:val="0"/>
        <w:adjustRightInd w:val="0"/>
        <w:jc w:val="both"/>
        <w:rPr>
          <w:rFonts w:ascii="Arial" w:eastAsia="MidashiMinPro-MA31-Identity-H" w:hAnsi="Arial" w:cs="Arial"/>
          <w:color w:val="000000"/>
          <w:lang w:val="en-GB"/>
        </w:rPr>
      </w:pPr>
    </w:p>
    <w:p w:rsidR="004B495B" w:rsidRDefault="004B495B" w:rsidP="00434FDD">
      <w:pPr>
        <w:autoSpaceDE w:val="0"/>
        <w:autoSpaceDN w:val="0"/>
        <w:adjustRightInd w:val="0"/>
        <w:jc w:val="both"/>
        <w:rPr>
          <w:rFonts w:ascii="Arial" w:eastAsia="MidashiMinPro-MA31-Identity-H" w:hAnsi="Arial" w:cs="Arial"/>
          <w:color w:val="000000"/>
          <w:lang w:val="en-GB"/>
        </w:rPr>
      </w:pPr>
      <w:r w:rsidRPr="00434FDD">
        <w:rPr>
          <w:rFonts w:ascii="Arial" w:eastAsia="MidashiMinPro-MA31-Identity-H" w:hAnsi="Arial" w:cs="Arial"/>
          <w:color w:val="000000"/>
          <w:lang w:val="en-GB"/>
        </w:rPr>
        <w:t>Kart racing has long been the first step on the way to a career in motor sports, with many of the world’s</w:t>
      </w:r>
      <w:r w:rsidR="00B71BFA">
        <w:rPr>
          <w:rFonts w:ascii="Arial" w:eastAsia="MidashiMinPro-MA31-Identity-H" w:hAnsi="Arial" w:cs="Arial"/>
          <w:color w:val="000000"/>
          <w:lang w:val="en-GB"/>
        </w:rPr>
        <w:t xml:space="preserve"> </w:t>
      </w:r>
      <w:r w:rsidRPr="00434FDD">
        <w:rPr>
          <w:rFonts w:ascii="Arial" w:eastAsia="MidashiMinPro-MA31-Identity-H" w:hAnsi="Arial" w:cs="Arial"/>
          <w:color w:val="000000"/>
          <w:lang w:val="en-GB"/>
        </w:rPr>
        <w:t>top drivers, including F1 drivers, having started in kart racing. As kart racing does not require a driver’s</w:t>
      </w:r>
      <w:r w:rsidR="00B71BFA">
        <w:rPr>
          <w:rFonts w:ascii="Arial" w:eastAsia="MidashiMinPro-MA31-Identity-H" w:hAnsi="Arial" w:cs="Arial"/>
          <w:color w:val="000000"/>
          <w:lang w:val="en-GB"/>
        </w:rPr>
        <w:t xml:space="preserve"> </w:t>
      </w:r>
      <w:r w:rsidRPr="00434FDD">
        <w:rPr>
          <w:rFonts w:ascii="Arial" w:eastAsia="MidashiMinPro-MA31-Identity-H" w:hAnsi="Arial" w:cs="Arial"/>
          <w:color w:val="000000"/>
          <w:lang w:val="en-GB"/>
        </w:rPr>
        <w:t>license, it is popular with all ages, from children to adults.</w:t>
      </w:r>
    </w:p>
    <w:p w:rsidR="00B71BFA" w:rsidRPr="00434FDD" w:rsidRDefault="00D27BAA" w:rsidP="00D27BAA">
      <w:pPr>
        <w:autoSpaceDE w:val="0"/>
        <w:autoSpaceDN w:val="0"/>
        <w:adjustRightInd w:val="0"/>
        <w:jc w:val="right"/>
        <w:rPr>
          <w:rFonts w:ascii="Arial" w:eastAsia="MidashiMinPro-MA31-Identity-H" w:hAnsi="Arial" w:cs="Arial"/>
          <w:color w:val="000000"/>
          <w:lang w:val="en-GB"/>
        </w:rPr>
      </w:pPr>
      <w:r>
        <w:rPr>
          <w:rFonts w:ascii="Arial" w:eastAsia="MidashiMinPro-MA31-Identity-H" w:hAnsi="Arial" w:cs="Arial"/>
          <w:noProof/>
          <w:color w:val="000000"/>
        </w:rPr>
        <w:drawing>
          <wp:inline distT="0" distB="0" distL="0" distR="0">
            <wp:extent cx="2596166" cy="1800000"/>
            <wp:effectExtent l="1905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6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MidashiMinPro-MA31-Identity-H" w:hAnsi="Arial" w:cs="Arial"/>
          <w:color w:val="000000"/>
          <w:lang w:val="en-GB"/>
        </w:rPr>
        <w:t xml:space="preserve">           </w:t>
      </w:r>
      <w:r>
        <w:rPr>
          <w:rFonts w:ascii="Arial" w:eastAsia="MidashiMinPro-MA31-Identity-H" w:hAnsi="Arial" w:cs="Arial"/>
          <w:noProof/>
          <w:color w:val="000000"/>
        </w:rPr>
        <w:drawing>
          <wp:inline distT="0" distB="0" distL="0" distR="0">
            <wp:extent cx="2596166" cy="1800000"/>
            <wp:effectExtent l="19050" t="0" r="0" b="0"/>
            <wp:docPr id="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6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95B" w:rsidRPr="00434FDD" w:rsidRDefault="004B495B" w:rsidP="00D27BAA">
      <w:pPr>
        <w:autoSpaceDE w:val="0"/>
        <w:autoSpaceDN w:val="0"/>
        <w:adjustRightInd w:val="0"/>
        <w:ind w:left="567" w:firstLine="567"/>
        <w:jc w:val="both"/>
        <w:rPr>
          <w:rFonts w:ascii="Arial" w:eastAsia="MidashiMinPro-MA31-Identity-H" w:hAnsi="Arial" w:cs="Arial"/>
          <w:b/>
          <w:bCs/>
          <w:i/>
          <w:iCs/>
          <w:color w:val="000000"/>
          <w:lang w:val="en-GB"/>
        </w:rPr>
      </w:pPr>
      <w:r w:rsidRPr="00434FDD">
        <w:rPr>
          <w:rFonts w:ascii="Arial" w:eastAsia="MidashiMinPro-MA31-Identity-H" w:hAnsi="Arial" w:cs="Arial"/>
          <w:b/>
          <w:bCs/>
          <w:i/>
          <w:iCs/>
          <w:color w:val="000000"/>
          <w:lang w:val="en-GB"/>
        </w:rPr>
        <w:t xml:space="preserve">Dry-type ACM </w:t>
      </w:r>
      <w:r w:rsidR="00D27BAA">
        <w:rPr>
          <w:rFonts w:ascii="Arial" w:eastAsia="MidashiMinPro-MA31-Identity-H" w:hAnsi="Arial" w:cs="Arial"/>
          <w:b/>
          <w:bCs/>
          <w:i/>
          <w:iCs/>
          <w:color w:val="000000"/>
          <w:lang w:val="en-GB"/>
        </w:rPr>
        <w:tab/>
      </w:r>
      <w:r w:rsidR="00D27BAA">
        <w:rPr>
          <w:rFonts w:ascii="Arial" w:eastAsia="MidashiMinPro-MA31-Identity-H" w:hAnsi="Arial" w:cs="Arial"/>
          <w:b/>
          <w:bCs/>
          <w:i/>
          <w:iCs/>
          <w:color w:val="000000"/>
          <w:lang w:val="en-GB"/>
        </w:rPr>
        <w:tab/>
      </w:r>
      <w:r w:rsidR="00D27BAA">
        <w:rPr>
          <w:rFonts w:ascii="Arial" w:eastAsia="MidashiMinPro-MA31-Identity-H" w:hAnsi="Arial" w:cs="Arial"/>
          <w:b/>
          <w:bCs/>
          <w:i/>
          <w:iCs/>
          <w:color w:val="000000"/>
          <w:lang w:val="en-GB"/>
        </w:rPr>
        <w:tab/>
      </w:r>
      <w:r w:rsidR="00D27BAA">
        <w:rPr>
          <w:rFonts w:ascii="Arial" w:eastAsia="MidashiMinPro-MA31-Identity-H" w:hAnsi="Arial" w:cs="Arial"/>
          <w:b/>
          <w:bCs/>
          <w:i/>
          <w:iCs/>
          <w:color w:val="000000"/>
          <w:lang w:val="en-GB"/>
        </w:rPr>
        <w:tab/>
      </w:r>
      <w:r w:rsidR="00D27BAA">
        <w:rPr>
          <w:rFonts w:ascii="Arial" w:eastAsia="MidashiMinPro-MA31-Identity-H" w:hAnsi="Arial" w:cs="Arial"/>
          <w:b/>
          <w:bCs/>
          <w:i/>
          <w:iCs/>
          <w:color w:val="000000"/>
          <w:lang w:val="en-GB"/>
        </w:rPr>
        <w:tab/>
      </w:r>
      <w:r w:rsidR="00D27BAA">
        <w:rPr>
          <w:rFonts w:ascii="Arial" w:eastAsia="MidashiMinPro-MA31-Identity-H" w:hAnsi="Arial" w:cs="Arial"/>
          <w:b/>
          <w:bCs/>
          <w:i/>
          <w:iCs/>
          <w:color w:val="000000"/>
          <w:lang w:val="en-GB"/>
        </w:rPr>
        <w:tab/>
      </w:r>
      <w:r w:rsidRPr="00434FDD">
        <w:rPr>
          <w:rFonts w:ascii="Arial" w:eastAsia="MidashiMinPro-MA31-Identity-H" w:hAnsi="Arial" w:cs="Arial"/>
          <w:b/>
          <w:bCs/>
          <w:i/>
          <w:iCs/>
          <w:color w:val="000000"/>
          <w:lang w:val="en-GB"/>
        </w:rPr>
        <w:t>Wet-type ACW</w:t>
      </w:r>
    </w:p>
    <w:p w:rsidR="00D27BAA" w:rsidRDefault="00D27BAA">
      <w:pPr>
        <w:rPr>
          <w:rFonts w:ascii="Arial" w:eastAsia="RyuminPro-Regular-Identity-H" w:hAnsi="Arial" w:cs="Arial"/>
          <w:color w:val="000000"/>
          <w:lang w:val="en-GB"/>
        </w:rPr>
      </w:pPr>
      <w:r>
        <w:rPr>
          <w:rFonts w:ascii="Arial" w:eastAsia="RyuminPro-Regular-Identity-H" w:hAnsi="Arial" w:cs="Arial"/>
          <w:color w:val="000000"/>
          <w:lang w:val="en-GB"/>
        </w:rPr>
        <w:br w:type="page"/>
      </w:r>
    </w:p>
    <w:p w:rsidR="004B495B" w:rsidRPr="00434FDD" w:rsidRDefault="004B495B" w:rsidP="00434FDD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color w:val="000000"/>
          <w:lang w:val="en-GB"/>
        </w:rPr>
      </w:pPr>
    </w:p>
    <w:p w:rsidR="00B71BFA" w:rsidRDefault="00B71BFA" w:rsidP="00434FDD">
      <w:pPr>
        <w:autoSpaceDE w:val="0"/>
        <w:autoSpaceDN w:val="0"/>
        <w:adjustRightInd w:val="0"/>
        <w:jc w:val="both"/>
        <w:rPr>
          <w:rFonts w:ascii="Arial" w:eastAsia="MidashiMinPro-MA31-Identity-H" w:hAnsi="Arial" w:cs="Arial"/>
          <w:color w:val="000000"/>
          <w:lang w:val="en-GB"/>
        </w:rPr>
      </w:pPr>
    </w:p>
    <w:tbl>
      <w:tblPr>
        <w:tblStyle w:val="Tabellengitternetz"/>
        <w:tblW w:w="0" w:type="auto"/>
        <w:tblLook w:val="04A0"/>
      </w:tblPr>
      <w:tblGrid>
        <w:gridCol w:w="1534"/>
        <w:gridCol w:w="1533"/>
        <w:gridCol w:w="1534"/>
        <w:gridCol w:w="1535"/>
        <w:gridCol w:w="1535"/>
        <w:gridCol w:w="1617"/>
      </w:tblGrid>
      <w:tr w:rsidR="00B71BFA" w:rsidTr="00B71BFA">
        <w:tc>
          <w:tcPr>
            <w:tcW w:w="1535" w:type="dxa"/>
          </w:tcPr>
          <w:p w:rsidR="00B71BFA" w:rsidRPr="00D27BAA" w:rsidRDefault="00B71BF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b/>
                <w:color w:val="000000"/>
                <w:lang w:val="en-GB"/>
              </w:rPr>
            </w:pPr>
            <w:r w:rsidRPr="00D27BAA">
              <w:rPr>
                <w:rFonts w:ascii="Arial" w:eastAsia="MidashiMinPro-MA31-Identity-H" w:hAnsi="Arial" w:cs="Arial"/>
                <w:b/>
                <w:color w:val="000000"/>
                <w:lang w:val="en-GB"/>
              </w:rPr>
              <w:t>Product Name</w:t>
            </w:r>
          </w:p>
        </w:tc>
        <w:tc>
          <w:tcPr>
            <w:tcW w:w="1535" w:type="dxa"/>
          </w:tcPr>
          <w:p w:rsidR="00B71BFA" w:rsidRPr="00D27BAA" w:rsidRDefault="00B71BF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b/>
                <w:color w:val="000000"/>
                <w:lang w:val="en-GB"/>
              </w:rPr>
            </w:pPr>
            <w:r w:rsidRPr="00D27BAA">
              <w:rPr>
                <w:rFonts w:ascii="Arial" w:eastAsia="MidashiMinPro-MA31-Identity-H" w:hAnsi="Arial" w:cs="Arial"/>
                <w:b/>
                <w:color w:val="000000"/>
                <w:lang w:val="en-GB"/>
              </w:rPr>
              <w:t>Type</w:t>
            </w:r>
          </w:p>
        </w:tc>
        <w:tc>
          <w:tcPr>
            <w:tcW w:w="1535" w:type="dxa"/>
          </w:tcPr>
          <w:p w:rsidR="00B71BFA" w:rsidRPr="00D27BAA" w:rsidRDefault="00B71BF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b/>
                <w:color w:val="000000"/>
                <w:lang w:val="en-GB"/>
              </w:rPr>
            </w:pPr>
            <w:r w:rsidRPr="00D27BAA">
              <w:rPr>
                <w:rFonts w:ascii="Arial" w:eastAsia="MidashiMinPro-MA31-Identity-H" w:hAnsi="Arial" w:cs="Arial"/>
                <w:b/>
                <w:color w:val="000000"/>
                <w:lang w:val="en-GB"/>
              </w:rPr>
              <w:t>Size</w:t>
            </w:r>
          </w:p>
        </w:tc>
        <w:tc>
          <w:tcPr>
            <w:tcW w:w="1535" w:type="dxa"/>
          </w:tcPr>
          <w:p w:rsidR="00B71BFA" w:rsidRPr="00D27BAA" w:rsidRDefault="00B71BF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b/>
                <w:color w:val="000000"/>
                <w:lang w:val="en-GB"/>
              </w:rPr>
            </w:pPr>
            <w:r w:rsidRPr="00D27BAA">
              <w:rPr>
                <w:rFonts w:ascii="Arial" w:eastAsia="MidashiMinPro-MA31-Identity-H" w:hAnsi="Arial" w:cs="Arial"/>
                <w:b/>
                <w:color w:val="000000"/>
                <w:lang w:val="en-GB"/>
              </w:rPr>
              <w:t>Front/Rear</w:t>
            </w:r>
          </w:p>
        </w:tc>
        <w:tc>
          <w:tcPr>
            <w:tcW w:w="1536" w:type="dxa"/>
          </w:tcPr>
          <w:p w:rsidR="00B71BFA" w:rsidRPr="00D27BAA" w:rsidRDefault="00B71BF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b/>
                <w:color w:val="000000"/>
                <w:lang w:val="en-GB"/>
              </w:rPr>
            </w:pPr>
            <w:r w:rsidRPr="00D27BAA">
              <w:rPr>
                <w:rFonts w:ascii="Arial" w:eastAsia="MidashiMinPro-MA31-Identity-H" w:hAnsi="Arial" w:cs="Arial"/>
                <w:b/>
                <w:color w:val="000000"/>
                <w:lang w:val="en-GB"/>
              </w:rPr>
              <w:t>Standard Rim</w:t>
            </w:r>
          </w:p>
        </w:tc>
        <w:tc>
          <w:tcPr>
            <w:tcW w:w="1536" w:type="dxa"/>
          </w:tcPr>
          <w:p w:rsidR="00B71BFA" w:rsidRPr="00D27BAA" w:rsidRDefault="00B71BF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b/>
                <w:color w:val="000000"/>
                <w:lang w:val="en-GB"/>
              </w:rPr>
            </w:pPr>
            <w:r w:rsidRPr="00D27BAA">
              <w:rPr>
                <w:rFonts w:ascii="Arial" w:eastAsia="MidashiMinPro-MA31-Identity-H" w:hAnsi="Arial" w:cs="Arial"/>
                <w:b/>
                <w:color w:val="000000"/>
                <w:lang w:val="en-GB"/>
              </w:rPr>
              <w:t xml:space="preserve">CIK-FIA Certification </w:t>
            </w:r>
            <w:r w:rsidR="00B15AB6" w:rsidRPr="00D27BAA">
              <w:rPr>
                <w:rFonts w:ascii="Arial" w:eastAsia="MidashiMinPro-MA31-Identity-H" w:hAnsi="Arial" w:cs="Arial"/>
                <w:b/>
                <w:color w:val="000000"/>
                <w:lang w:val="en-GB"/>
              </w:rPr>
              <w:t>labelling</w:t>
            </w:r>
          </w:p>
        </w:tc>
      </w:tr>
      <w:tr w:rsidR="00D27BAA" w:rsidTr="00B15AB6">
        <w:trPr>
          <w:trHeight w:val="252"/>
        </w:trPr>
        <w:tc>
          <w:tcPr>
            <w:tcW w:w="1535" w:type="dxa"/>
            <w:vMerge w:val="restart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ACM</w:t>
            </w:r>
          </w:p>
        </w:tc>
        <w:tc>
          <w:tcPr>
            <w:tcW w:w="1535" w:type="dxa"/>
            <w:vMerge w:val="restart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Dry</w:t>
            </w:r>
          </w:p>
        </w:tc>
        <w:tc>
          <w:tcPr>
            <w:tcW w:w="1535" w:type="dxa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4.5x10.-5</w:t>
            </w:r>
          </w:p>
        </w:tc>
        <w:tc>
          <w:tcPr>
            <w:tcW w:w="1535" w:type="dxa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Front</w:t>
            </w:r>
          </w:p>
        </w:tc>
        <w:tc>
          <w:tcPr>
            <w:tcW w:w="1536" w:type="dxa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4.5</w:t>
            </w:r>
          </w:p>
        </w:tc>
        <w:tc>
          <w:tcPr>
            <w:tcW w:w="1536" w:type="dxa"/>
            <w:vMerge w:val="restart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CIK F-Prime</w:t>
            </w:r>
          </w:p>
        </w:tc>
      </w:tr>
      <w:tr w:rsidR="00D27BAA" w:rsidTr="00B71BFA">
        <w:trPr>
          <w:trHeight w:val="251"/>
        </w:trPr>
        <w:tc>
          <w:tcPr>
            <w:tcW w:w="1535" w:type="dxa"/>
            <w:vMerge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</w:p>
        </w:tc>
        <w:tc>
          <w:tcPr>
            <w:tcW w:w="1535" w:type="dxa"/>
            <w:vMerge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</w:p>
        </w:tc>
        <w:tc>
          <w:tcPr>
            <w:tcW w:w="1535" w:type="dxa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7.1x11.0-5</w:t>
            </w:r>
          </w:p>
        </w:tc>
        <w:tc>
          <w:tcPr>
            <w:tcW w:w="1535" w:type="dxa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Rear</w:t>
            </w:r>
          </w:p>
        </w:tc>
        <w:tc>
          <w:tcPr>
            <w:tcW w:w="1536" w:type="dxa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8.0</w:t>
            </w:r>
          </w:p>
        </w:tc>
        <w:tc>
          <w:tcPr>
            <w:tcW w:w="1536" w:type="dxa"/>
            <w:vMerge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</w:p>
        </w:tc>
      </w:tr>
      <w:tr w:rsidR="00D27BAA" w:rsidTr="00B15AB6">
        <w:trPr>
          <w:trHeight w:val="252"/>
        </w:trPr>
        <w:tc>
          <w:tcPr>
            <w:tcW w:w="1535" w:type="dxa"/>
            <w:vMerge w:val="restart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ACH</w:t>
            </w:r>
          </w:p>
        </w:tc>
        <w:tc>
          <w:tcPr>
            <w:tcW w:w="1535" w:type="dxa"/>
            <w:vMerge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</w:p>
        </w:tc>
        <w:tc>
          <w:tcPr>
            <w:tcW w:w="1535" w:type="dxa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4.5x10.0-5</w:t>
            </w:r>
          </w:p>
        </w:tc>
        <w:tc>
          <w:tcPr>
            <w:tcW w:w="1535" w:type="dxa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Front</w:t>
            </w:r>
          </w:p>
        </w:tc>
        <w:tc>
          <w:tcPr>
            <w:tcW w:w="1536" w:type="dxa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4.5</w:t>
            </w:r>
          </w:p>
        </w:tc>
        <w:tc>
          <w:tcPr>
            <w:tcW w:w="1536" w:type="dxa"/>
            <w:vMerge w:val="restart"/>
          </w:tcPr>
          <w:p w:rsidR="00D27BAA" w:rsidRDefault="00D27BAA" w:rsidP="00D27BAA">
            <w:pPr>
              <w:autoSpaceDE w:val="0"/>
              <w:autoSpaceDN w:val="0"/>
              <w:adjustRightInd w:val="0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CIK F-Option</w:t>
            </w:r>
          </w:p>
        </w:tc>
      </w:tr>
      <w:tr w:rsidR="00D27BAA" w:rsidTr="00B71BFA">
        <w:trPr>
          <w:trHeight w:val="251"/>
        </w:trPr>
        <w:tc>
          <w:tcPr>
            <w:tcW w:w="1535" w:type="dxa"/>
            <w:vMerge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</w:p>
        </w:tc>
        <w:tc>
          <w:tcPr>
            <w:tcW w:w="1535" w:type="dxa"/>
            <w:vMerge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</w:p>
        </w:tc>
        <w:tc>
          <w:tcPr>
            <w:tcW w:w="1535" w:type="dxa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7.1x11.0-5</w:t>
            </w:r>
          </w:p>
        </w:tc>
        <w:tc>
          <w:tcPr>
            <w:tcW w:w="1535" w:type="dxa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Rear</w:t>
            </w:r>
          </w:p>
        </w:tc>
        <w:tc>
          <w:tcPr>
            <w:tcW w:w="1536" w:type="dxa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8.0</w:t>
            </w:r>
          </w:p>
        </w:tc>
        <w:tc>
          <w:tcPr>
            <w:tcW w:w="1536" w:type="dxa"/>
            <w:vMerge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</w:p>
        </w:tc>
      </w:tr>
      <w:tr w:rsidR="00D27BAA" w:rsidTr="00D27BAA">
        <w:trPr>
          <w:trHeight w:val="123"/>
        </w:trPr>
        <w:tc>
          <w:tcPr>
            <w:tcW w:w="1535" w:type="dxa"/>
            <w:vMerge w:val="restart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ACB</w:t>
            </w:r>
          </w:p>
        </w:tc>
        <w:tc>
          <w:tcPr>
            <w:tcW w:w="1535" w:type="dxa"/>
            <w:vMerge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</w:p>
        </w:tc>
        <w:tc>
          <w:tcPr>
            <w:tcW w:w="1535" w:type="dxa"/>
          </w:tcPr>
          <w:p w:rsidR="00D27BAA" w:rsidRDefault="00D27BAA" w:rsidP="00D27BAA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4.5x10.0-5</w:t>
            </w:r>
          </w:p>
        </w:tc>
        <w:tc>
          <w:tcPr>
            <w:tcW w:w="1535" w:type="dxa"/>
          </w:tcPr>
          <w:p w:rsidR="00D27BAA" w:rsidRDefault="00D27BAA" w:rsidP="00D27BAA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Front</w:t>
            </w:r>
          </w:p>
        </w:tc>
        <w:tc>
          <w:tcPr>
            <w:tcW w:w="1536" w:type="dxa"/>
          </w:tcPr>
          <w:p w:rsidR="00D27BAA" w:rsidRDefault="00D27BAA" w:rsidP="00D27BAA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4.5</w:t>
            </w:r>
          </w:p>
        </w:tc>
        <w:tc>
          <w:tcPr>
            <w:tcW w:w="1536" w:type="dxa"/>
            <w:vMerge w:val="restart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CIK Z-Prime</w:t>
            </w:r>
          </w:p>
        </w:tc>
      </w:tr>
      <w:tr w:rsidR="00D27BAA" w:rsidTr="00B71BFA">
        <w:trPr>
          <w:trHeight w:val="122"/>
        </w:trPr>
        <w:tc>
          <w:tcPr>
            <w:tcW w:w="1535" w:type="dxa"/>
            <w:vMerge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</w:p>
        </w:tc>
        <w:tc>
          <w:tcPr>
            <w:tcW w:w="1535" w:type="dxa"/>
            <w:vMerge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</w:p>
        </w:tc>
        <w:tc>
          <w:tcPr>
            <w:tcW w:w="1535" w:type="dxa"/>
          </w:tcPr>
          <w:p w:rsidR="00D27BAA" w:rsidRDefault="00D27BAA" w:rsidP="00D27BAA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7.1x11.0-5</w:t>
            </w:r>
          </w:p>
        </w:tc>
        <w:tc>
          <w:tcPr>
            <w:tcW w:w="1535" w:type="dxa"/>
          </w:tcPr>
          <w:p w:rsidR="00D27BAA" w:rsidRDefault="00D27BAA" w:rsidP="00D27BAA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Rear</w:t>
            </w:r>
          </w:p>
        </w:tc>
        <w:tc>
          <w:tcPr>
            <w:tcW w:w="1536" w:type="dxa"/>
          </w:tcPr>
          <w:p w:rsidR="00D27BAA" w:rsidRDefault="00D27BAA" w:rsidP="00D27BAA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8.0</w:t>
            </w:r>
          </w:p>
        </w:tc>
        <w:tc>
          <w:tcPr>
            <w:tcW w:w="1536" w:type="dxa"/>
            <w:vMerge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</w:p>
        </w:tc>
      </w:tr>
      <w:tr w:rsidR="00D27BAA" w:rsidTr="00D27BAA">
        <w:trPr>
          <w:trHeight w:val="123"/>
        </w:trPr>
        <w:tc>
          <w:tcPr>
            <w:tcW w:w="1535" w:type="dxa"/>
            <w:vMerge w:val="restart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ACC</w:t>
            </w:r>
          </w:p>
        </w:tc>
        <w:tc>
          <w:tcPr>
            <w:tcW w:w="1535" w:type="dxa"/>
            <w:vMerge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</w:p>
        </w:tc>
        <w:tc>
          <w:tcPr>
            <w:tcW w:w="1535" w:type="dxa"/>
          </w:tcPr>
          <w:p w:rsidR="00D27BAA" w:rsidRDefault="00D27BAA" w:rsidP="00D27BAA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4.5x10.0-5</w:t>
            </w:r>
          </w:p>
        </w:tc>
        <w:tc>
          <w:tcPr>
            <w:tcW w:w="1535" w:type="dxa"/>
          </w:tcPr>
          <w:p w:rsidR="00D27BAA" w:rsidRDefault="00D27BAA" w:rsidP="00D27BAA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Front</w:t>
            </w:r>
          </w:p>
        </w:tc>
        <w:tc>
          <w:tcPr>
            <w:tcW w:w="1536" w:type="dxa"/>
          </w:tcPr>
          <w:p w:rsidR="00D27BAA" w:rsidRDefault="00D27BAA" w:rsidP="00D27BAA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4.5</w:t>
            </w:r>
          </w:p>
        </w:tc>
        <w:tc>
          <w:tcPr>
            <w:tcW w:w="1536" w:type="dxa"/>
            <w:vMerge w:val="restart"/>
          </w:tcPr>
          <w:p w:rsidR="00D27BAA" w:rsidRDefault="00D27BAA" w:rsidP="00D27BAA">
            <w:pPr>
              <w:autoSpaceDE w:val="0"/>
              <w:autoSpaceDN w:val="0"/>
              <w:adjustRightInd w:val="0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CIK Z-Option</w:t>
            </w:r>
          </w:p>
        </w:tc>
      </w:tr>
      <w:tr w:rsidR="00D27BAA" w:rsidTr="00B71BFA">
        <w:trPr>
          <w:trHeight w:val="122"/>
        </w:trPr>
        <w:tc>
          <w:tcPr>
            <w:tcW w:w="1535" w:type="dxa"/>
            <w:vMerge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</w:p>
        </w:tc>
        <w:tc>
          <w:tcPr>
            <w:tcW w:w="1535" w:type="dxa"/>
            <w:vMerge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</w:p>
        </w:tc>
        <w:tc>
          <w:tcPr>
            <w:tcW w:w="1535" w:type="dxa"/>
          </w:tcPr>
          <w:p w:rsidR="00D27BAA" w:rsidRDefault="00D27BAA" w:rsidP="00D27BAA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7.1x11.0-5</w:t>
            </w:r>
          </w:p>
        </w:tc>
        <w:tc>
          <w:tcPr>
            <w:tcW w:w="1535" w:type="dxa"/>
          </w:tcPr>
          <w:p w:rsidR="00D27BAA" w:rsidRDefault="00D27BAA" w:rsidP="00D27BAA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Rear</w:t>
            </w:r>
          </w:p>
        </w:tc>
        <w:tc>
          <w:tcPr>
            <w:tcW w:w="1536" w:type="dxa"/>
          </w:tcPr>
          <w:p w:rsidR="00D27BAA" w:rsidRDefault="00D27BAA" w:rsidP="00D27BAA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8.0</w:t>
            </w:r>
          </w:p>
        </w:tc>
        <w:tc>
          <w:tcPr>
            <w:tcW w:w="1536" w:type="dxa"/>
            <w:vMerge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</w:p>
        </w:tc>
      </w:tr>
      <w:tr w:rsidR="00D27BAA" w:rsidTr="00D27BAA">
        <w:trPr>
          <w:trHeight w:val="123"/>
        </w:trPr>
        <w:tc>
          <w:tcPr>
            <w:tcW w:w="1535" w:type="dxa"/>
            <w:vMerge w:val="restart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ACW</w:t>
            </w:r>
          </w:p>
        </w:tc>
        <w:tc>
          <w:tcPr>
            <w:tcW w:w="1535" w:type="dxa"/>
            <w:vMerge w:val="restart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Wet</w:t>
            </w:r>
          </w:p>
        </w:tc>
        <w:tc>
          <w:tcPr>
            <w:tcW w:w="1535" w:type="dxa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4.5x10.0-5</w:t>
            </w:r>
          </w:p>
        </w:tc>
        <w:tc>
          <w:tcPr>
            <w:tcW w:w="1535" w:type="dxa"/>
          </w:tcPr>
          <w:p w:rsidR="00D27BAA" w:rsidRDefault="00D27BAA" w:rsidP="00D27BAA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Front</w:t>
            </w:r>
          </w:p>
        </w:tc>
        <w:tc>
          <w:tcPr>
            <w:tcW w:w="1536" w:type="dxa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4.5</w:t>
            </w:r>
          </w:p>
        </w:tc>
        <w:tc>
          <w:tcPr>
            <w:tcW w:w="1536" w:type="dxa"/>
            <w:vMerge w:val="restart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CIK</w:t>
            </w:r>
          </w:p>
        </w:tc>
      </w:tr>
      <w:tr w:rsidR="00D27BAA" w:rsidTr="00B71BFA">
        <w:trPr>
          <w:trHeight w:val="122"/>
        </w:trPr>
        <w:tc>
          <w:tcPr>
            <w:tcW w:w="1535" w:type="dxa"/>
            <w:vMerge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</w:p>
        </w:tc>
        <w:tc>
          <w:tcPr>
            <w:tcW w:w="1535" w:type="dxa"/>
            <w:vMerge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</w:p>
        </w:tc>
        <w:tc>
          <w:tcPr>
            <w:tcW w:w="1535" w:type="dxa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6.0x11.0-5</w:t>
            </w:r>
          </w:p>
        </w:tc>
        <w:tc>
          <w:tcPr>
            <w:tcW w:w="1535" w:type="dxa"/>
          </w:tcPr>
          <w:p w:rsidR="00D27BAA" w:rsidRDefault="00D27BAA" w:rsidP="00D27BAA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Rear</w:t>
            </w:r>
          </w:p>
        </w:tc>
        <w:tc>
          <w:tcPr>
            <w:tcW w:w="1536" w:type="dxa"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  <w:r>
              <w:rPr>
                <w:rFonts w:ascii="Arial" w:eastAsia="MidashiMinPro-MA31-Identity-H" w:hAnsi="Arial" w:cs="Arial"/>
                <w:color w:val="000000"/>
                <w:lang w:val="en-GB"/>
              </w:rPr>
              <w:t>6.5</w:t>
            </w:r>
          </w:p>
        </w:tc>
        <w:tc>
          <w:tcPr>
            <w:tcW w:w="1536" w:type="dxa"/>
            <w:vMerge/>
          </w:tcPr>
          <w:p w:rsidR="00D27BAA" w:rsidRDefault="00D27BAA" w:rsidP="00434FDD">
            <w:pPr>
              <w:autoSpaceDE w:val="0"/>
              <w:autoSpaceDN w:val="0"/>
              <w:adjustRightInd w:val="0"/>
              <w:jc w:val="both"/>
              <w:rPr>
                <w:rFonts w:ascii="Arial" w:eastAsia="MidashiMinPro-MA31-Identity-H" w:hAnsi="Arial" w:cs="Arial"/>
                <w:color w:val="000000"/>
                <w:lang w:val="en-GB"/>
              </w:rPr>
            </w:pPr>
          </w:p>
        </w:tc>
      </w:tr>
    </w:tbl>
    <w:p w:rsidR="009E4272" w:rsidRPr="00434FDD" w:rsidRDefault="009E4272" w:rsidP="00D27BAA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sectPr w:rsidR="009E4272" w:rsidRPr="00434FDD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7BAA" w:rsidRDefault="00D27BAA" w:rsidP="00B25742">
      <w:r>
        <w:separator/>
      </w:r>
    </w:p>
  </w:endnote>
  <w:endnote w:type="continuationSeparator" w:id="0">
    <w:p w:rsidR="00D27BAA" w:rsidRDefault="00D27BA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dashiMinPro-MA31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RyuminPro-Regular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BAA" w:rsidRDefault="00D27BA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BAA" w:rsidRDefault="00D27BAA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BAA" w:rsidRDefault="00D27BAA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7BAA" w:rsidRDefault="00D27BAA" w:rsidP="00B25742">
      <w:r>
        <w:separator/>
      </w:r>
    </w:p>
  </w:footnote>
  <w:footnote w:type="continuationSeparator" w:id="0">
    <w:p w:rsidR="00D27BAA" w:rsidRDefault="00D27BA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BAA" w:rsidRDefault="00D27BA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BAA" w:rsidRPr="00B25742" w:rsidRDefault="00D27BAA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BAA" w:rsidRDefault="00D27BAA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34FDD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B495B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96AE1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53645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5AB6"/>
    <w:rsid w:val="00B1623F"/>
    <w:rsid w:val="00B20DED"/>
    <w:rsid w:val="00B25742"/>
    <w:rsid w:val="00B325CA"/>
    <w:rsid w:val="00B3624C"/>
    <w:rsid w:val="00B45C4F"/>
    <w:rsid w:val="00B601AF"/>
    <w:rsid w:val="00B71549"/>
    <w:rsid w:val="00B71BFA"/>
    <w:rsid w:val="00B75B00"/>
    <w:rsid w:val="00B76A0B"/>
    <w:rsid w:val="00BA48CE"/>
    <w:rsid w:val="00BB0FD0"/>
    <w:rsid w:val="00BB1897"/>
    <w:rsid w:val="00BB72B9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610D"/>
    <w:rsid w:val="00D03610"/>
    <w:rsid w:val="00D063ED"/>
    <w:rsid w:val="00D104AB"/>
    <w:rsid w:val="00D259A1"/>
    <w:rsid w:val="00D27BAA"/>
    <w:rsid w:val="00D40FA3"/>
    <w:rsid w:val="00D52089"/>
    <w:rsid w:val="00D573A7"/>
    <w:rsid w:val="00D664E5"/>
    <w:rsid w:val="00D805A0"/>
    <w:rsid w:val="00D91F7B"/>
    <w:rsid w:val="00D97A85"/>
    <w:rsid w:val="00DA2C0A"/>
    <w:rsid w:val="00DA7F7D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table" w:styleId="Tabellengitternetz">
    <w:name w:val="Table Grid"/>
    <w:basedOn w:val="NormaleTabelle"/>
    <w:uiPriority w:val="59"/>
    <w:rsid w:val="00B71B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2186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4</cp:revision>
  <cp:lastPrinted>2012-03-02T16:27:00Z</cp:lastPrinted>
  <dcterms:created xsi:type="dcterms:W3CDTF">2014-02-07T07:54:00Z</dcterms:created>
  <dcterms:modified xsi:type="dcterms:W3CDTF">2014-02-07T08:32:00Z</dcterms:modified>
</cp:coreProperties>
</file>